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2l92mvmwhtf6" w:id="0"/>
      <w:bookmarkEnd w:id="0"/>
      <w:r w:rsidDel="00000000" w:rsidR="00000000" w:rsidRPr="00000000">
        <w:rPr>
          <w:rtl w:val="0"/>
        </w:rPr>
        <w:t xml:space="preserve">K-12 Teacher Certification Requirements</w:t>
        <w:br w:type="textWrapping"/>
        <w:t xml:space="preserve">Art</w:t>
        <w:br w:type="textWrapping"/>
        <w:t xml:space="preserve">Undergraduate Program</w:t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ART CORE REQUIREMENTS: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 210 Visual Concepts I: Two Dimensions (3)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 211 Visual Concepts II: Camera Vision (3)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 212 Visual Concepts III (3D Form, Space, and Interaction) 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 213 Visual Concepts IV (Time-Based Media)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 214 Drawing I 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 216 Studies in Visual Culture 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 320 Methods I: 2-D Multiples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 321 Enlightenment to Birth of Modernism (1750-1880)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 323 Modernism (1880-1960) 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 328 Postmodernism (1960-present) 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One upper-level ART elective – Studio or Art History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One upper-level Writing Intensive Course in Visual Arts, chosen from this list: ART 335, ART 342, ART 347, ART 425</w:t>
      </w:r>
    </w:p>
    <w:p w:rsidR="00000000" w:rsidDel="00000000" w:rsidP="00000000" w:rsidRDefault="00000000" w:rsidRPr="00000000" w14:paraId="00000010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 489 Secondary Art Methods (3)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Information about Praxis Test Requirements: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