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n6wja1f9l3n9" w:id="0"/>
      <w:bookmarkEnd w:id="0"/>
      <w:r w:rsidDel="00000000" w:rsidR="00000000" w:rsidRPr="00000000">
        <w:rPr>
          <w:rtl w:val="0"/>
        </w:rPr>
        <w:t xml:space="preserve">K-12 Art Teacher Certification Requirements</w:t>
        <w:br w:type="textWrapping"/>
        <w:t xml:space="preserve">Master of Arts in Teaching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Content Requirements for Art Certification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Two Dimensional Art (3)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Three Dimensional Art (3)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Painting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Sculpture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Upper Level Art History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Upper Level Art History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Printmaking or ceramics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Photography or graphic design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Additional 6 credits in upper level Art Content Elective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Upper level Art Content Elective 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Adolescent or Developmental Psychology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689 Instructional Strategies for Teaching K-12 Art (3)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793S Internship Phase II (5)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9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