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ucyxyulr241" w:id="0"/>
      <w:bookmarkEnd w:id="0"/>
      <w:r w:rsidDel="00000000" w:rsidR="00000000" w:rsidRPr="00000000">
        <w:rPr>
          <w:rtl w:val="0"/>
        </w:rPr>
        <w:t xml:space="preserve">Secondary Science Teacher Certification Requirements</w:t>
        <w:br w:type="textWrapping"/>
        <w:t xml:space="preserve">Physical Science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Content Requirements for Physical Science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Chemistry: 12 credits (lower level)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Chemistry: 6 credits (upper level)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Physics: 12 credits (lower level)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Physics: 6 credits (upper level)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History of Science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Adolescent or Developmental Psychology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mbqdreai7jyy" w:id="2"/>
      <w:bookmarkEnd w:id="2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3d27f7wqg8aw" w:id="3"/>
      <w:bookmarkEnd w:id="3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Content Elective (3)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Content Elective (3)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2jlr8t752plq" w:id="4"/>
      <w:bookmarkEnd w:id="4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 629 Instructional Strategies for Teaching Secondary Science (3)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 789 Phase I Internship &amp; Seminar (1)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o39jfqd169t6" w:id="5"/>
      <w:bookmarkEnd w:id="5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3">
      <w:pPr>
        <w:pStyle w:val="Heading2"/>
        <w:spacing w:after="240" w:lineRule="auto"/>
        <w:rPr/>
      </w:pPr>
      <w:bookmarkStart w:colFirst="0" w:colLast="0" w:name="_4mh8dg1czdl8" w:id="6"/>
      <w:bookmarkEnd w:id="6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