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y3cxpmxuo0e5" w:id="0"/>
      <w:bookmarkEnd w:id="0"/>
      <w:r w:rsidDel="00000000" w:rsidR="00000000" w:rsidRPr="00000000">
        <w:rPr>
          <w:rtl w:val="0"/>
        </w:rPr>
        <w:t xml:space="preserve">Undergraduate Secondary Teacher Education Certificate Requirements </w:t>
        <w:br w:type="textWrapping"/>
        <w:t xml:space="preserve">Spanish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Spanish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MLL 280 Introduction to the Spanish-Speaking World (3)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MLL 470 L2 Acquisition and Learning: Theory to Practice (3) </w:t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427 Science in the Secondary School (3)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spacing w:after="240" w:lineRule="auto"/>
        <w:rPr/>
      </w:pPr>
      <w:bookmarkStart w:colFirst="0" w:colLast="0" w:name="_4mh8dg1czdl8" w:id="6"/>
      <w:bookmarkEnd w:id="6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1E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